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35A5">
        <w:rPr>
          <w:rFonts w:ascii="Times New Roman" w:hAnsi="Times New Roman" w:cs="Times New Roman"/>
          <w:b/>
          <w:color w:val="000000"/>
          <w:sz w:val="32"/>
          <w:szCs w:val="32"/>
        </w:rPr>
        <w:t>The Writable Interface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 Writable interface defines two methods: one for writing its state to a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DataOutput</w:t>
      </w:r>
      <w:proofErr w:type="spellEnd"/>
      <w:r w:rsid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binary stream and one for reading its state from a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DataInput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binary stream.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package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org.apache.hadoop.io;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import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java.io.DataOutput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import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java.io.DataInput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import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java.io.IOException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interface Writable {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void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write(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DataOutput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out) throws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IOException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void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readFields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DataInput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in) throws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IOException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Let’s look at a particular 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to see what we can do with it. We will use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a wrapper for a Java 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. We can create one and set its value using the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set(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method: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writable = new </w:t>
      </w: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writable.set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163);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Equivalently, we can use the constructor that takes the integer value: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writable = new </w:t>
      </w: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163);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To examine the serialized form of the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, we write a small helper method that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wraps a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java.io.ByteArrayOutputStream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 a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java.io.DataOutputStream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(an implementation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of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java.io.DataOutput</w:t>
      </w:r>
      <w:proofErr w:type="spell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) to capture the bytes in the serialized stream: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static byte[] serialize(Writable writable) throws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IOException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ByteArrayOutputStream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out = new </w:t>
      </w: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ByteArrayOutputStream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DataOutputStream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dataOut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new </w:t>
      </w: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DataOutputStream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out);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writable.write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dataOut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dataOut.close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lastRenderedPageBreak/>
        <w:t>return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out.toByteArray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An integer is written using four bytes (as we see using JUnit 4 assertions):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byte[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] bytes = serialize(writable);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bytes.length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, is(4));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The bytes are written in big-endian order (so the most significant byte is written to the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stream first, which is dictated by the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java.io.DataOutput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interface), and we can see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their hexadecimal representation by using a method on Hadoop’s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StringUtils</w:t>
      </w:r>
      <w:proofErr w:type="spell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StringUtils.byteToHexString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(bytes), is("000000a3"));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Let’s try deserialization. Again, we create a helper method to read a 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object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from a byte array: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static byte[]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deserialize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(Writable writable, byte[] bytes)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throws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IOException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ByteArrayInputStream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in = new </w:t>
      </w: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ByteArrayInputStream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bytes);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DataInputStream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dataIn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new </w:t>
      </w: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DataInputStream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writable.readFields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dataIn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dataIn.close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bytes;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We construct a new, value-less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and then call </w:t>
      </w: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deserialize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to read from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the</w:t>
      </w:r>
      <w:proofErr w:type="gram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output data that we just wrote. Then we check that its value, retrieved using the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get(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method, is the original value, 163: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newWritable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new </w:t>
      </w: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deserialize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newWritable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, bytes);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newWritable.get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(), is(163));</w:t>
      </w:r>
    </w:p>
    <w:p w:rsidR="006C7D07" w:rsidRDefault="006C7D07" w:rsidP="006C7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F235A5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WritableComparable</w:t>
      </w:r>
      <w:proofErr w:type="spellEnd"/>
      <w:r w:rsidRPr="00F235A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and comparators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implements the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interface, which is just a </w:t>
      </w:r>
      <w:proofErr w:type="spellStart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subinterface</w:t>
      </w:r>
      <w:proofErr w:type="spellEnd"/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of the 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java.lang.Comparable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interfaces: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package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org.apache.hadoop.io;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interface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&lt;T&gt; extends Writable, Comparable&lt;T&gt; {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Comparison of types is crucial for MapReduce, where there is a sorting phase during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which keys are compared with one another. One optimization that Hadoop provides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the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RawComparator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extension of Java’s 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Comparator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package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org.apache.hadoop.io;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import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java.util.Comparator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interface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RawComparator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&lt;T&gt; extends Comparator&lt;T&gt; {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compare(byte[] b1,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s1,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l1, byte[] b2,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s2,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l2);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This interface permits </w:t>
      </w:r>
      <w:proofErr w:type="spellStart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implementors</w:t>
      </w:r>
      <w:proofErr w:type="spell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to compare records read from a stream without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deserializing</w:t>
      </w:r>
      <w:proofErr w:type="spell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them into objects, thereby avoiding any overhead of object creation. For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example, the comparator for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s</w:t>
      </w:r>
      <w:proofErr w:type="spell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implements the raw </w:t>
      </w: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compare(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method by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reading an integer from each of the byte arrays 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b1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b2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and comparing them directly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from the given start positions (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s1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s2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) and lengths (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l1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l2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).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WritableComparator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a general-purpose implementation of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RawComparator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for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classes.</w:t>
      </w:r>
      <w:proofErr w:type="gram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It provides two main functions. First, it provides a default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implementation of the raw </w:t>
      </w: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compare(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 that </w:t>
      </w:r>
      <w:proofErr w:type="spellStart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deserializes</w:t>
      </w:r>
      <w:proofErr w:type="spell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the objects to be compared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from the stream and invokes the object 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compare()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method. Second, it acts as a</w:t>
      </w:r>
      <w:r w:rsid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factory for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RawComparator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instances (that </w:t>
      </w:r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implementations have registered).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For example, to obtain a comparator for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, we just use: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lastRenderedPageBreak/>
        <w:t>RawComparator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&lt;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&gt; comparator = </w:t>
      </w: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WritableComparator.get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IntWritable.class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 comparator can be used to compare two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objects: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w1 = new </w:t>
      </w: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163);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w2 = new </w:t>
      </w: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67);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comparator.compare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(w1, w2), </w:t>
      </w:r>
      <w:proofErr w:type="spell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greaterThan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(0));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>or</w:t>
      </w:r>
      <w:proofErr w:type="gramEnd"/>
      <w:r w:rsidRPr="00F235A5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their serialized representations: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byte[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] b1 = serialize(w1);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byte[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] b2 = serialize(w2);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comparator.compare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(b1, 0, b1.length, b2, 0, b2.length),</w:t>
      </w:r>
    </w:p>
    <w:p w:rsidR="00687051" w:rsidRPr="00F235A5" w:rsidRDefault="00687051" w:rsidP="006C7D07">
      <w:pPr>
        <w:autoSpaceDE w:val="0"/>
        <w:autoSpaceDN w:val="0"/>
        <w:adjustRightInd w:val="0"/>
        <w:spacing w:after="0" w:line="360" w:lineRule="auto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greaterThan</w:t>
      </w:r>
      <w:proofErr w:type="spell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F235A5">
        <w:rPr>
          <w:rFonts w:ascii="Times New Roman" w:eastAsia="TheSansMonoCd-W5Regular" w:hAnsi="Times New Roman" w:cs="Times New Roman"/>
          <w:color w:val="000000"/>
          <w:sz w:val="28"/>
          <w:szCs w:val="28"/>
        </w:rPr>
        <w:t>0));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b/>
          <w:color w:val="000000"/>
          <w:sz w:val="28"/>
          <w:szCs w:val="28"/>
        </w:rPr>
        <w:t>Writable Classes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Hadoop comes with a large selection of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classes in the 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>or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g.apache.hadoop.io</w:t>
      </w:r>
      <w:r w:rsid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package. 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b/>
          <w:color w:val="000000"/>
          <w:sz w:val="28"/>
          <w:szCs w:val="28"/>
        </w:rPr>
        <w:t>Writable wrappers for Java primitives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There are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wrappers for all the Java primitive types except</w:t>
      </w:r>
      <w:r w:rsidR="00F235A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char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(which can be stored in an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). All have a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set()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 for</w:t>
      </w:r>
      <w:r w:rsidR="00F235A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retrieving and storing the wrapped value.</w:t>
      </w:r>
    </w:p>
    <w:p w:rsidR="00831BC3" w:rsidRPr="006C7D07" w:rsidRDefault="00831BC3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color w:val="000000"/>
          <w:sz w:val="28"/>
          <w:szCs w:val="28"/>
        </w:rPr>
        <w:t>Java primitive Writable implementation Serialized size (bytes)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boolean</w:t>
      </w:r>
      <w:proofErr w:type="spellEnd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BooleanWritable</w:t>
      </w:r>
      <w:proofErr w:type="spellEnd"/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ByteWritable</w:t>
      </w:r>
      <w:proofErr w:type="spellEnd"/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short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ShortWritable</w:t>
      </w:r>
      <w:proofErr w:type="spellEnd"/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VIntWritable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1–5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float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FloatWritable</w:t>
      </w:r>
      <w:proofErr w:type="spellEnd"/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long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LongWritable</w:t>
      </w:r>
      <w:proofErr w:type="spellEnd"/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VLongWritable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1–9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double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DoubleWritable</w:t>
      </w:r>
      <w:proofErr w:type="spellEnd"/>
      <w:r w:rsid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="00F235A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ab/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When it comes to encoding integers, there is a choice between the fixed-length formats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LongWritable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) and the variable-length formats 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VIntWritable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and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VLongWritable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).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The variable-length formats use only a single byte to encode the value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if it is small enough (between –112 and 127, inclusive); otherwise, they use the first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byte to indicate whether the value is positive or negative, and how many bytes follow.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For example, 163 </w:t>
      </w:r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requires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two bytes: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byte[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] data = serialize(new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VIntWritable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(163));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StringUtils.byteToHexString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(data), is("8fa3"));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How do you choose between a fixed-length and a variable-length encoding?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Fixedlength</w:t>
      </w:r>
      <w:proofErr w:type="spellEnd"/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encodings are good when the distribution of values is fairly uniform across the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whole value space, such as a (well-designed) hash function. Most numeric variables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tend to have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nonuniform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distributions, and on average the variable-length encoding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will save space. Another advantage of variable-length encodings is that you can switch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from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VIntWritable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to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VLongWritable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because their encodings are actually the same. So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by choosing a variable-length representation, you have room to grow without committing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to an 8-byte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long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representation from the beginning.</w:t>
      </w:r>
    </w:p>
    <w:p w:rsidR="00396D55" w:rsidRPr="006C7D07" w:rsidRDefault="00396D55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Writable Class Hierarchy</w:t>
      </w:r>
    </w:p>
    <w:p w:rsidR="00396D55" w:rsidRPr="006C7D07" w:rsidRDefault="00396D55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</w:p>
    <w:p w:rsidR="00396D55" w:rsidRPr="006C7D07" w:rsidRDefault="00396D55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215810E2" wp14:editId="4A8C64F3">
            <wp:extent cx="5943600" cy="772583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07" w:rsidRDefault="006C7D07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7D07" w:rsidRDefault="006C7D07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Text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a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for UTF-8 sequences. It can be thought of as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equivalent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of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java.lang.String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.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a replacement for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UTF8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class, which was deprecated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because it didn’t support strings whose encoding was over 32,767 bytes and because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it used Java’s modified UTF-8.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class uses an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(with a variable-length encoding) to store the number of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bytes in the string encoding, so the maximum value is 2 GB. Furthermore,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uses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standard UTF-8, which makes it potentially easier to interoperate with other tools that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understand UTF-8.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Because of its emphasis on using standard UTF-8, there are some differences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between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the Java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String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class. Indexing for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class is in terms of position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in the encoded byte sequence, not the Unicode character in the string or the Java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char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code unit (as it is for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String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). For ASCII strings, these three concepts of index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position coincide. Here is an example to demonstrate the use of the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</w:t>
      </w:r>
      <w:r w:rsid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method: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t = new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hadoop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t.getLength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(), is(6));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t.getBytes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().length, is(6));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(2), is((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 'd'));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"Out of bounds",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(100), is(-1));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Notice that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returns an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representing a Unicode code point, unlike the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String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variant that returns a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char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.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also has a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find(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method, which is analogous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to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String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’s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indexOf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: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t = new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hadoop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"Find a substring",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t.find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("do"), is(2));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"Finds first 'o'",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t.find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("o"), is(3));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"Finds 'o' from position 4 or later",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t.find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("o", 4), is(4));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"No match",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t.find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("pig"), is(-1));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C7D07">
        <w:rPr>
          <w:rFonts w:ascii="Times New Roman" w:hAnsi="Times New Roman" w:cs="Times New Roman"/>
          <w:b/>
          <w:color w:val="000000"/>
          <w:sz w:val="28"/>
          <w:szCs w:val="28"/>
        </w:rPr>
        <w:t>Indexing.</w:t>
      </w:r>
      <w:proofErr w:type="gramEnd"/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When we start using characters that are encoded with more than a single byte,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the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differences between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String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become clear. Consider the Unicode characters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Unicode code point </w:t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U+0041 U+00DF U+6771 U+10400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Name </w:t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LATIN CAPITAL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color w:val="000000"/>
          <w:sz w:val="28"/>
          <w:szCs w:val="28"/>
        </w:rPr>
        <w:t>LETTER A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color w:val="000000"/>
          <w:sz w:val="28"/>
          <w:szCs w:val="28"/>
        </w:rPr>
        <w:t>LATIN SMALL LETTER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color w:val="000000"/>
          <w:sz w:val="28"/>
          <w:szCs w:val="28"/>
        </w:rPr>
        <w:t>SHARP S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N/A (a unified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color w:val="000000"/>
          <w:sz w:val="28"/>
          <w:szCs w:val="28"/>
        </w:rPr>
        <w:t>Han ideograph)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color w:val="000000"/>
          <w:sz w:val="28"/>
          <w:szCs w:val="28"/>
        </w:rPr>
        <w:t>DESERET CAPITAL LETTER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color w:val="000000"/>
          <w:sz w:val="28"/>
          <w:szCs w:val="28"/>
        </w:rPr>
        <w:t>LONG I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UTF-8 code units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41 c3 9f e6 9d b1 f0 90 90 80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Java representation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\u0041 \u00DF \u6771 \uuD801\uDC00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All but the last character in the table, U+10400, can be expressed using a single Java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char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. U+10400 is a supplementary character and is represented by two Java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char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s,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known as a surrogate pair. The tests in </w:t>
      </w: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 xml:space="preserve">Example 4-5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show the differences between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String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when processing a string of the four characters from </w:t>
      </w: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>Table 4-8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Example 4-5. Tests showing the differences between the String and Text classes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class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StringTextComparisonTest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@Test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void string() throws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UnsupportedEncodingException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String s = "\u0041\u00DF\u6771\uD801\uDC00";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s.length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(), is(5));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s.getBytes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("UTF-8").length, is(10));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s.indexOf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("\u0041"), is(0));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s.indexOf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("\u00DF"), is(1));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s.indexOf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("\u6771"), is(2));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s.indexOf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("\uD801\uDC00"), is(3));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(0), is('\u0041'));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(1), is('\u00DF'));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(2), is('\u6771'));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(3), is('\uD801'));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(4), is('\uDC00'));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s.codePointAt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(0), is(0x0041));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s.codePointAt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(1), is(0x00DF));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s.codePointAt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(2), is(0x6771));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s.codePointAt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(3), is(0x10400));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@Test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void text()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t = new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"\u0041\u00DF\u6771\uD801\uDC00");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Unicode.</w:t>
      </w:r>
      <w:proofErr w:type="gramEnd"/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FF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2. This example is based on one from the article </w:t>
      </w: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>“Supplementary Characters in the Java Platform.”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t.getLength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(), is(10));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t.find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("\u0041"), is(0));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t.find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("\u00DF"), is(1));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t.find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("\u6771"), is(3));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t.find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("\uD801\uDC00"), is(6));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(0), is(0x0041));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(1), is(0x00DF));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(3), is(0x6771));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(6), is(0x10400));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 test confirms that the length of a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String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the number of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char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code units it contains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(5, made up of one from each of the first three characters in the string and a surrogate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pair from the last), whereas the length of a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object is the number of bytes in its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UTF-8 encoding (10 = 1+2+3+4). Similarly, the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indexOf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 in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String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returns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 index in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char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code units, and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find()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for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is a byte offset.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 in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String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returns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char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code unit for the given index, which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in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the case of a surrogate pair will not represent a whole Unicode character.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code</w:t>
      </w:r>
      <w:r w:rsid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PointAt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method, indexed by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char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code unit, is needed to retrieve a single Unicode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character represented as an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. In fact, the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charAt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 in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is more like the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codePointAt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 than its namesake in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String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 The only difference is that it is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indexed by byte offset.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Iterating over the Unicode characters in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is complicated by the use of byte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offsets for indexing, since you can’t just increment the index. The idiom for iteration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a little obscure (see </w:t>
      </w: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>Example 4-6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): turn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object into a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java.nio.ByteBuffer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then repeatedly call the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bytesToCodePoint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static method on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with the buffer. This</w:t>
      </w:r>
      <w:r w:rsid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 extracts the next code point as an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updates the position in the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buffer.The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end of the string is detected when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bytesToCodePoint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returns –1.</w:t>
      </w:r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Example 4-6. Iterating over the characters in a Text object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class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TextIterator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static void main(String[]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args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t = new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"\u0041\u00DF\u6771\uD801\uDC00");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lastRenderedPageBreak/>
        <w:t>ByteBuffer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buf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ByteBuffer.wrap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t.getBytes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(), 0,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t.getLength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while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buf.hasRemaining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 &amp;&amp; 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Text.bytesToCodePoint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buf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)) != -1)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System.out.println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Integer.toHexString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Running the program prints the code points for the four characters in the string: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hAnsi="Times New Roman" w:cs="Times New Roman"/>
          <w:color w:val="000000"/>
          <w:sz w:val="28"/>
          <w:szCs w:val="28"/>
        </w:rPr>
        <w:t>Iteration.</w:t>
      </w:r>
      <w:proofErr w:type="gramEnd"/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6C7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hadoop</w:t>
      </w:r>
      <w:proofErr w:type="spellEnd"/>
      <w:r w:rsidRPr="006C7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TextIterator</w:t>
      </w:r>
      <w:proofErr w:type="spellEnd"/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41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df</w:t>
      </w:r>
      <w:proofErr w:type="spellEnd"/>
      <w:proofErr w:type="gramEnd"/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6771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10400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Another difference with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String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that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mutable (like all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implementations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 Hadoop, except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NullWritable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which is a singleton). You can reuse a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instance by calling one of the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methods on it. For example: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t = new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hadoop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t.set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"pig");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t.getLength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(), is(3));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t.getBytes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().length, is(3));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 some situations, the byte array returned by the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getBytes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may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be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longer than the length returned by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getLength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: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t = new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hadoop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t.set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Text("pig")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t.getLength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(), is(3));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"Byte length not shortened",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t.getBytes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().length,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is(</w:t>
      </w:r>
      <w:proofErr w:type="gramEnd"/>
      <w:r w:rsidRPr="006C7D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6)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This shows why it is imperative that you always call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getLength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when</w:t>
      </w:r>
      <w:r w:rsidR="007D3AAB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calling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getBytes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so you know how much of the byte array is valid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data.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doesn’t have as rich an API for manipulating strings as</w:t>
      </w:r>
      <w:r w:rsidR="007D3AAB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java.lang.String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so in many cases, you need to convert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object to a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String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.This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is done in the usual way, using the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toString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method: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(new Text("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hadoop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").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toString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(), is("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hadoop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"));</w:t>
      </w:r>
    </w:p>
    <w:p w:rsidR="007D3AAB" w:rsidRPr="006C7D07" w:rsidRDefault="007D3AAB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C7D07">
        <w:rPr>
          <w:rFonts w:ascii="Times New Roman" w:hAnsi="Times New Roman" w:cs="Times New Roman"/>
          <w:b/>
          <w:color w:val="000000"/>
          <w:sz w:val="28"/>
          <w:szCs w:val="28"/>
        </w:rPr>
        <w:t>BytesWritable</w:t>
      </w:r>
      <w:proofErr w:type="spellEnd"/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lastRenderedPageBreak/>
        <w:t>BytesWritable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is a wrapper for an array of binary data. Its serialized format is an integer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field (4 bytes) that specifies the number of bytes to follow, followed by the bytes themselves.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For example, the byte array of length two with values 3 and 5 is serialized as a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4-byte integer (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00000002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) followed by the two bytes from the array (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03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05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):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BytesWritable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b = new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BytesWritable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new byte[] { 3, 5 });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byte[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] bytes = serialize(b);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StringUtils.byteToHexString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(bytes), is("000000020305"));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BytesWritable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mutable, and its value may be changed by calling its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method.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As with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the size of the byte array returned from the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getBytes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 for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BytesWritable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—the capacity—may not reflect the actual size of the data stored in the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BytesWritable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. You can determine the size of the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BytesWritable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by calling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get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Length(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 To demonstrate: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b.setCapacity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11);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b.getLength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(), is(2));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b.getBytes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().length, is(11));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C7D07">
        <w:rPr>
          <w:rFonts w:ascii="Times New Roman" w:hAnsi="Times New Roman" w:cs="Times New Roman"/>
          <w:b/>
          <w:color w:val="000000"/>
          <w:sz w:val="28"/>
          <w:szCs w:val="28"/>
        </w:rPr>
        <w:t>Mutability.</w:t>
      </w:r>
      <w:proofErr w:type="gramEnd"/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hAnsi="Times New Roman" w:cs="Times New Roman"/>
          <w:color w:val="000000"/>
          <w:sz w:val="28"/>
          <w:szCs w:val="28"/>
        </w:rPr>
        <w:t>Resorting to String.</w:t>
      </w:r>
      <w:proofErr w:type="gramEnd"/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C7D07">
        <w:rPr>
          <w:rFonts w:ascii="Times New Roman" w:hAnsi="Times New Roman" w:cs="Times New Roman"/>
          <w:b/>
          <w:color w:val="000000"/>
          <w:sz w:val="28"/>
          <w:szCs w:val="28"/>
        </w:rPr>
        <w:t>NullWritable</w:t>
      </w:r>
      <w:proofErr w:type="spellEnd"/>
    </w:p>
    <w:p w:rsidR="001E245E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NullWritable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a special type of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as it has a zero-length serialization. No bytes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are written to or read from the stream. It is used as a placeholder; for example, in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MapReduce, a key or a value can be declared as a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NullWritable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when you don’t need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to use that position, effectively storing a constant empty value.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NullWritable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can also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be useful as a key in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SequenceFile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when you want to store a list of values, as opposed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to key-value pairs. It is an immutable singleton, and the instance can be retrieved by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calling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NullWritable.get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hAnsi="Times New Roman" w:cs="Times New Roman"/>
          <w:color w:val="000000"/>
          <w:sz w:val="28"/>
          <w:szCs w:val="28"/>
        </w:rPr>
        <w:t>ObjectWritable</w:t>
      </w:r>
      <w:proofErr w:type="spellEnd"/>
      <w:r w:rsidRPr="006C7D07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6C7D07">
        <w:rPr>
          <w:rFonts w:ascii="Times New Roman" w:hAnsi="Times New Roman" w:cs="Times New Roman"/>
          <w:color w:val="000000"/>
          <w:sz w:val="28"/>
          <w:szCs w:val="28"/>
        </w:rPr>
        <w:t>GenericWritable</w:t>
      </w:r>
      <w:proofErr w:type="spellEnd"/>
      <w:r w:rsidR="00F33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ObjectWritable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a general-purpose wrapper for the following: Java primitives,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String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enum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null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or arrays of any of these types. It is used in Hadoop RPC </w:t>
      </w:r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to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marshal</w:t>
      </w:r>
      <w:proofErr w:type="gramEnd"/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unmarshal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method arguments and return types.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ObjectWritable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is useful when a field can be of more than one type. For example, if the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values in a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SequenceFile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have multiple types, you can declare the value type as an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ObjectWritable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wrap each type in an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ObjectWritable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 Being a general-purpose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mechanism, it wasted a fair amount of space because it writes the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classname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of the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wrapped type every time it is serialized. In cases where the number of types is small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known ahead of time, this can be improved by having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lastRenderedPageBreak/>
        <w:t>a static array of types and</w:t>
      </w:r>
      <w:r w:rsidR="00F33DB8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using the index into the array as the serialized reference to the type. This is the approach</w:t>
      </w:r>
      <w:r w:rsidR="001E245E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that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GenericWritable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takes, and you have to subclass it to specify which types to support.</w:t>
      </w:r>
      <w:r w:rsidR="001E245E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b/>
          <w:color w:val="000000"/>
          <w:sz w:val="28"/>
          <w:szCs w:val="28"/>
        </w:rPr>
        <w:t>Writable collections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There are six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collection types in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org.apache.hadoop.io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package: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Array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ArrayPrimitiveWritable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TwoDArrayWritable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MapWritable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SortedMapWritable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EnumSetWritable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TwoDArrayWritable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are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implementations for arrays and</w:t>
      </w:r>
      <w:r w:rsidR="0038319A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two-dimensional arrays (array of arrays) of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instances. All the elements of an</w:t>
      </w:r>
      <w:r w:rsidR="0038319A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</w:t>
      </w:r>
      <w:r w:rsidR="0038319A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or a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TwoDArrayWritable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must be instances of the same class, which is</w:t>
      </w:r>
      <w:r w:rsidR="0038319A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specified at construction as follows:</w:t>
      </w:r>
    </w:p>
    <w:p w:rsidR="007D3AAB" w:rsidRPr="006C7D07" w:rsidRDefault="007D3AAB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writable = new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Text.class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 contexts where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defined by type, such as in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SequenceFile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keys or values</w:t>
      </w:r>
      <w:r w:rsidR="0038319A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or as input to MapReduce in general, you need to subclass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(or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TwoDArrayWritable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as appropriate) to set the type statically. For example: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class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extends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super(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Text.class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TwoDArrayWritable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both have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set()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methods, as well as a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toArray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method, which creates a shallow copy of the array (or 2D array).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ArrayPrimitiveWritable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is a wrapper for arrays of Java primitives. The component type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detected when you call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so there is no need to subclass to set the type.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MapWritable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SortedMap</w:t>
      </w:r>
      <w:proofErr w:type="spellEnd"/>
      <w:r w:rsidR="00396D5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are implementations of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java.util.Map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&lt;Writable,</w:t>
      </w:r>
      <w:r w:rsidR="00396D5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Writable&gt; 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j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ava.util.SortedMap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&lt;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, Writable&gt;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respectively. The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y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pe of each key and value field is a part of the serialization format for that field. The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type is stored as a single byte that acts as an index into an array of types. The array is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populated with the standard types in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org.apache.hadoop.io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package, but custom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</w:t>
      </w:r>
      <w:r w:rsidR="00396D5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types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are accommodated, too, by writing a header that encodes the type array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for nonstandard types. As they are implemented,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MapWritable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SortedMapWritable</w:t>
      </w:r>
      <w:proofErr w:type="spellEnd"/>
      <w:r w:rsidR="00396D5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use positive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byte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values for custom types, so a maximum of 127 distinct nonstandard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classes can be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lastRenderedPageBreak/>
        <w:t xml:space="preserve">used in any particular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MapWritable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or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SortedMapWritable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instance.Here’s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a demonstration of using a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MapWritable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with different types for keys and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values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: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MapWritable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src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new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MapWritable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src.put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new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(1), new Text("cat"));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src.put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new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VIntWritable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(2), new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LongWritable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(163));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MapWritable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dest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new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MapWritable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WritableUtils.cloneInto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dest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src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(Text)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dest.get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(new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(1)), is(new Text("cat")));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assertThat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LongWritable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dest.get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(new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VIntWritable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(2)), is(new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LongWritable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163)));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Conspicuous by their absence are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collection implementations for sets and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lists. A general set can be emulated by using a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MapWritable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(or a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SortedMapWritable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for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 sorted set) with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NullWritable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values. There is also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EnumSetWritable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for sets of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enum</w:t>
      </w:r>
      <w:proofErr w:type="spellEnd"/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types. For lists of a single type of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is adequate, but to store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different types of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 a single list, you can use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GenericWritable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to wrap the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elements in an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ArrayWritable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. Alternatively, you could write a general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ListWritable</w:t>
      </w:r>
      <w:proofErr w:type="spellEnd"/>
      <w:r w:rsidR="00396D5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using the ideas from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MapWritable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Implementing a Custom Writable</w:t>
      </w:r>
      <w:r w:rsidR="00396D55" w:rsidRPr="006C7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Hadoop comes with a useful set of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implementations that serve most purposes;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however, on occasion, you may need to write your own custom implementation. With</w:t>
      </w:r>
      <w:r w:rsidR="0038319A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 custom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you have full control over the binary representation and the sort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order. Because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s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are at the heart of the MapReduce data path, tuning the binary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representation can have a significant effect on performance. The stock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</w:t>
      </w:r>
      <w:r w:rsidR="00396D5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implementations that come with Hadoop are well-tuned, but for more elaborate structures,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it is often better to create a new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type rather than compose the stock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types.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To demonstrate how to create a custom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we shall write an implementation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that represents a pair of strings, called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 The basic implementation is shown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in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>Example 4-7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Example 4-7. A Writable implementation that stores a pair of Text objects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import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java.io.*;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import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org.apache.hadoop.io.*;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class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implements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&lt;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&gt;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private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Text first;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lastRenderedPageBreak/>
        <w:t>private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Text second;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new Text(), new Text());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(String first, String second)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new Text(first), new Text(second));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(Text first, Text second)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set(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first, second);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void set(Text first, Text second)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this.first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first;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this.second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second;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Text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getFirst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first;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Text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getSecond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second;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@Override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void write(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DataOutput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out) throws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IOException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first.write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out);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second.write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out);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@Override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void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readFields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DataInput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in) throws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IOException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first.readFields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second.readFields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@Override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hashCode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first.hashCode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() * 163 +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second.hashCode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@Override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lastRenderedPageBreak/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boolean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equals(Object o)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if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(o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instanceof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 o;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first.equals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tp.first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&amp;&amp;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second.equals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tp.second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false;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@Override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String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toString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first + "\t" + second;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@Override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compareTo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cmp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first.compareTo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tp.first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if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cmp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!= 0)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cmp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second.compareTo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tp.second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FF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 first part of the implementation is straightforward: there are two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instance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variables,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first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second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and associated constructors, getters, and setters. All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implementations must have a default constructor so that the MapReduce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framework can instantiate them, then populate their fields by calling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readFields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Writable instances are mutable and often reused, so you should take care to avoid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allocating objects in the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write(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or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readFields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methods.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’s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write(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 serializes each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object in turn to the output stream by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delegating to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objects themselves. Similarly,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readFields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deserializes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the bytes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from the input stream by delegating to each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object. The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DataOutput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and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DataInput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interfaces have a rich set of methods for serializing and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deserializing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Java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primitives, so, in general, you have complete control over the wire format of your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object.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Just as you would for any value object you write in Java, you should override the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hashCode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equals()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and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toString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methods from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java.lang.Object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.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hash</w:t>
      </w:r>
      <w:r w:rsidR="00396D55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Code(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 is used by the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HashPartitioner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(the default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partitioner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in MapReduce)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to choose a reduce partition, so you should make sure that you write a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lastRenderedPageBreak/>
        <w:t>good hash</w:t>
      </w:r>
      <w:r w:rsidR="0038319A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function that mixes well to ensure reduce partitions are of a similar size.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If you ever plan to use your custom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with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TextOutputFormat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then you must implement its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toString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method.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TextOutputFormat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calls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toString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on keys and values for their output representation. For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</w:t>
      </w:r>
      <w:r w:rsidR="0038319A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Pair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we write the underlying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objects as strings separated by a tab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character.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an implementation of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so it provides an implementation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of the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compareTo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 that imposes the ordering you would expect: it sorts by the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first string followed by the second. Notice that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differs from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from the previous section (apart from the number of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objects it can store), since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TextArrayWritable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only a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not a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WritableComparable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.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 xml:space="preserve">Implementing a </w:t>
      </w:r>
      <w:proofErr w:type="spellStart"/>
      <w:r w:rsidRPr="006C7D07">
        <w:rPr>
          <w:rFonts w:ascii="Times New Roman" w:hAnsi="Times New Roman" w:cs="Times New Roman"/>
          <w:color w:val="000000"/>
          <w:sz w:val="28"/>
          <w:szCs w:val="28"/>
        </w:rPr>
        <w:t>RawComparator</w:t>
      </w:r>
      <w:proofErr w:type="spellEnd"/>
      <w:r w:rsidRPr="006C7D07">
        <w:rPr>
          <w:rFonts w:ascii="Times New Roman" w:hAnsi="Times New Roman" w:cs="Times New Roman"/>
          <w:color w:val="000000"/>
          <w:sz w:val="28"/>
          <w:szCs w:val="28"/>
        </w:rPr>
        <w:t xml:space="preserve"> for speed</w:t>
      </w:r>
      <w:r w:rsidR="00396D55" w:rsidRPr="006C7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The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code for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 </w:t>
      </w: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 xml:space="preserve">Example 4-7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will work as it stands; however, there is a further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optimization we can make. As explained in </w:t>
      </w: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>“</w:t>
      </w:r>
      <w:proofErr w:type="spellStart"/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>WritableComparable</w:t>
      </w:r>
      <w:proofErr w:type="spellEnd"/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 xml:space="preserve"> and comparators”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>on</w:t>
      </w:r>
      <w:proofErr w:type="gramEnd"/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 xml:space="preserve"> page 95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, when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is being used as a key in MapReduce, it will have to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be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deserialized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into an object for the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compareTo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 to be invoked. What if it were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possible to compare two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objects just by looking at their serialized</w:t>
      </w:r>
      <w:r w:rsidR="00396D55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representations?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FF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It turns out that we can do this because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is the concatenation of two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</w:t>
      </w:r>
      <w:r w:rsidR="00964787"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objects, and the binary representation of a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object is a variable-length integer containing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the number of bytes in the UTF-8 representation of the string, followed by the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UTF-8 bytes themselves. The trick is to read the initial length so we know how long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 first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object’s byte representation is; then we can delegate to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’s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RawComparator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invoke it with the appropriate offsets for the first or second string. </w:t>
      </w: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>Example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 xml:space="preserve">4-8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gives the details (note that this code is nested in the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class).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Example 4-8. A </w:t>
      </w:r>
      <w:proofErr w:type="spellStart"/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RawComparator</w:t>
      </w:r>
      <w:proofErr w:type="spellEnd"/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for comparing </w:t>
      </w:r>
      <w:proofErr w:type="spellStart"/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byte representations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static class Comparator extends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private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static final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Text.Comparator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TEXT_COMPARATOR = new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Text.Comparator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Comparator()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super(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TextPair.class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@Override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compare(byte[] b1,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s1,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l1,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byte[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] b2,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s2,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l2)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lastRenderedPageBreak/>
        <w:t>try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firstL1 =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WritableUtils.decodeVIntSize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(b1[s1]) +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readVInt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(b1, s1);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firstL2 =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WritableUtils.decodeVIntSize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(b2[s2]) +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readVInt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(b2, s2);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cmp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TEXT_COMPARATOR.compare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(b1, s1, firstL1, b2, s2, firstL2);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if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cmp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!= 0)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cmp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TEXT_COMPARATOR.compare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(b1, s1 + firstL1, l1 - firstL1,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b2, s2 + firstL2, l2 - firstL2);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 catch 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IOException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e)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throw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new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IllegalArgumentException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(e);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static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WritableComparator.define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TextPair.class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, new Comparator());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We actually subclass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rather than implement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RawComparator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directly</w:t>
      </w:r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,since</w:t>
      </w:r>
      <w:proofErr w:type="spellEnd"/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it provides some convenience methods and default implementations. The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subtle part of this code is calculating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firstL1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and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firstL2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the lengths of the first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Text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field in each byte stream. Each is made up of the length of the variable-length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integer (returned by </w:t>
      </w: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decodeVIntSize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WritableUtils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) and the value it is encoding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(returned by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readVInt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).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The static block registers the raw comparator so that whenever MapReduce sees the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class, it knows to use the raw comparator as its default comparator.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hAnsi="Times New Roman" w:cs="Times New Roman"/>
          <w:color w:val="000000"/>
          <w:sz w:val="28"/>
          <w:szCs w:val="28"/>
        </w:rPr>
        <w:t>Custom comparators</w:t>
      </w:r>
      <w:r w:rsidR="00964787" w:rsidRPr="006C7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As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we can see with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writing raw comparators takes some care because you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have to deal with details at the byte level. It is worth looking at some of the implementations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of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Writable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in the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org.apache.hadoop.io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package for further ideas if you need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to write your own. The utility methods on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WritableUtils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are very handy, too.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Custom comparators should also be written to be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RawComparator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s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if possible. These</w:t>
      </w:r>
      <w:r w:rsidR="00964787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are comparators that implement a different sort order from the natural sort order defined</w:t>
      </w:r>
      <w:r w:rsidR="0038319A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by the default comparator. </w:t>
      </w: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 xml:space="preserve">Example 4-9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shows a comparator for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called</w:t>
      </w:r>
      <w:r w:rsidR="0060061F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0061F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f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irstComparator</w:t>
      </w:r>
      <w:proofErr w:type="spell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that</w:t>
      </w:r>
      <w:proofErr w:type="gramEnd"/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considers only the first string of the pair. Note that we override</w:t>
      </w:r>
      <w:r w:rsidR="0038319A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the </w:t>
      </w: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compare(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method that takes objects so both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compare()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methods have the same</w:t>
      </w:r>
      <w:r w:rsidR="0060061F"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semantics.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Birka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lastRenderedPageBreak/>
        <w:t xml:space="preserve">We will make use of this comparator in </w:t>
      </w: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>Chapter 8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, when we look at joins and secondary</w:t>
      </w:r>
      <w:r w:rsidR="0038319A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 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 xml:space="preserve">sorting in MapReduce (see </w:t>
      </w:r>
      <w:r w:rsidRPr="006C7D07">
        <w:rPr>
          <w:rFonts w:ascii="Times New Roman" w:eastAsia="Birka" w:hAnsi="Times New Roman" w:cs="Times New Roman"/>
          <w:color w:val="0000FF"/>
          <w:sz w:val="28"/>
          <w:szCs w:val="28"/>
        </w:rPr>
        <w:t>“Joins” on page 283</w:t>
      </w:r>
      <w:r w:rsidRPr="006C7D07">
        <w:rPr>
          <w:rFonts w:ascii="Times New Roman" w:eastAsia="Birka" w:hAnsi="Times New Roman" w:cs="Times New Roman"/>
          <w:color w:val="000000"/>
          <w:sz w:val="28"/>
          <w:szCs w:val="28"/>
        </w:rPr>
        <w:t>).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Example 4-9. A custom </w:t>
      </w:r>
      <w:proofErr w:type="spellStart"/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RawComparator</w:t>
      </w:r>
      <w:proofErr w:type="spellEnd"/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for comparing the first field of </w:t>
      </w:r>
      <w:proofErr w:type="spellStart"/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TextPair</w:t>
      </w:r>
      <w:proofErr w:type="spellEnd"/>
      <w:r w:rsidRPr="006C7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byte representations</w:t>
      </w:r>
      <w:r w:rsidR="003831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public static class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FirstComparator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extends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WritableComparator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private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static final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Text.Comparator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TEXT_COMPARATOR = new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Text.Comparator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FirstComparator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super(</w:t>
      </w:r>
      <w:proofErr w:type="spellStart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TextPair.class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@Override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public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compare(byte[] b1,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s1,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l1,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byte[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] b2,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s2,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l2)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try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firstL1 =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WritableUtils.decodeVIntSize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(b1[s1]) +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readVInt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(b1, s1);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int</w:t>
      </w:r>
      <w:proofErr w:type="spellEnd"/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firstL2 =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WritableUtils.decodeVIntSize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(b2[s2]) +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readVInt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(b2, s2);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return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TEXT_COMPARATOR.compare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(b1, s1, firstL1, b2, s2, firstL2);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} catch (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IOException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e) {</w:t>
      </w:r>
    </w:p>
    <w:p w:rsidR="00687051" w:rsidRPr="006C7D07" w:rsidRDefault="00687051" w:rsidP="006C7D07">
      <w:pPr>
        <w:autoSpaceDE w:val="0"/>
        <w:autoSpaceDN w:val="0"/>
        <w:adjustRightInd w:val="0"/>
        <w:spacing w:after="0"/>
        <w:rPr>
          <w:rFonts w:ascii="Times New Roman" w:eastAsia="TheSansMonoCd-W5Regular" w:hAnsi="Times New Roman" w:cs="Times New Roman"/>
          <w:color w:val="000000"/>
          <w:sz w:val="28"/>
          <w:szCs w:val="28"/>
        </w:rPr>
      </w:pPr>
      <w:proofErr w:type="gram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throw</w:t>
      </w:r>
      <w:proofErr w:type="gram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 xml:space="preserve"> new </w:t>
      </w:r>
      <w:proofErr w:type="spellStart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IllegalArgumentException</w:t>
      </w:r>
      <w:proofErr w:type="spellEnd"/>
      <w:r w:rsidRPr="006C7D07">
        <w:rPr>
          <w:rFonts w:ascii="Times New Roman" w:eastAsia="TheSansMonoCd-W5Regular" w:hAnsi="Times New Roman" w:cs="Times New Roman"/>
          <w:color w:val="000000"/>
          <w:sz w:val="28"/>
          <w:szCs w:val="28"/>
        </w:rPr>
        <w:t>(e);</w:t>
      </w:r>
    </w:p>
    <w:p w:rsidR="005A1300" w:rsidRPr="006C7D07" w:rsidRDefault="005A1300" w:rsidP="006C7D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1300" w:rsidRPr="006C7D07" w:rsidSect="008F72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k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heSansMonoCd-W5Regular">
    <w:altName w:val="MS Mincho"/>
    <w:panose1 w:val="00000000000000000000"/>
    <w:charset w:val="80"/>
    <w:family w:val="script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51"/>
    <w:rsid w:val="000C15A9"/>
    <w:rsid w:val="001E245E"/>
    <w:rsid w:val="0038319A"/>
    <w:rsid w:val="00396D55"/>
    <w:rsid w:val="005A1300"/>
    <w:rsid w:val="0060061F"/>
    <w:rsid w:val="00687051"/>
    <w:rsid w:val="006C7D07"/>
    <w:rsid w:val="007D3AAB"/>
    <w:rsid w:val="00831BC3"/>
    <w:rsid w:val="00964787"/>
    <w:rsid w:val="00BE6600"/>
    <w:rsid w:val="00F235A5"/>
    <w:rsid w:val="00F3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</dc:creator>
  <cp:lastModifiedBy>Shankar</cp:lastModifiedBy>
  <cp:revision>11</cp:revision>
  <dcterms:created xsi:type="dcterms:W3CDTF">2016-09-27T14:30:00Z</dcterms:created>
  <dcterms:modified xsi:type="dcterms:W3CDTF">2016-09-27T15:25:00Z</dcterms:modified>
</cp:coreProperties>
</file>